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(Primer año del proyecto multianual)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[Según la naturaleza del proyecto, las etapas mencionadas a continuación pueden ser modificadas]</w:t>
      </w:r>
    </w:p>
    <w:p w:rsidR="00000000" w:rsidDel="00000000" w:rsidP="00000000" w:rsidRDefault="00000000" w:rsidRPr="00000000" w14:paraId="00000016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PRIMER AÑO DE EJECUCIÓN DEL PROYECTO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pre producción]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 producción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actividades relacionadas a esta etapa y, de ser el caso, los cambios que se generaron]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B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campaña de difusión y sus soluciones]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ser el caso, indicadores de impacto (número de beneficiarios, ámbito de aplicación de esta primera edición)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jc w:val="center"/>
      <w:rPr/>
    </w:pPr>
    <w:r w:rsidDel="00000000" w:rsidR="00000000" w:rsidRPr="00000000">
      <w:rPr>
        <w:rtl w:val="0"/>
      </w:rPr>
      <w:t xml:space="preserve">CONCURSO NACIONAL DE PROYECTOS DE GESTIÓN CULTURAL PARA EL CINE Y EL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2K62Z0uFLDQgnVjrh1krFRUIFg==">CgMxLjAyCGguZ2pkZ3hzOAByITFqRzJ0dEljR0VSQkM5ZTVRaWRGU2pLa1N6d2dyc2FIXw==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2024-03-27T19:10:00Z</dcterms:created>
  <dc:creator>Servicio Terceros - 18</dc:creator>
</cp:coreProperties>
</file>